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8A" w:rsidRPr="008B6389" w:rsidRDefault="00092F65" w:rsidP="00092F65">
      <w:pPr>
        <w:jc w:val="center"/>
        <w:rPr>
          <w:rFonts w:ascii="Sylfaen" w:hAnsi="Sylfaen" w:cs="Sylfaen"/>
          <w:b/>
          <w:color w:val="00467C"/>
          <w:sz w:val="36"/>
          <w:szCs w:val="40"/>
          <w:lang w:val="ka-GE" w:eastAsia="zh-CN"/>
        </w:rPr>
      </w:pPr>
      <w:r w:rsidRPr="008B6389">
        <w:rPr>
          <w:rFonts w:ascii="Sylfaen" w:hAnsi="Sylfaen" w:cs="Sylfaen"/>
          <w:b/>
          <w:color w:val="00467C"/>
          <w:sz w:val="36"/>
          <w:szCs w:val="40"/>
          <w:lang w:val="ka-GE" w:eastAsia="zh-CN"/>
        </w:rPr>
        <w:t>დოპელჰერცი მაგნეზია</w:t>
      </w:r>
    </w:p>
    <w:p w:rsidR="00092F65" w:rsidRDefault="00092F65" w:rsidP="00092F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 ფაზიანი დეპო ტაბლეტი  500</w:t>
      </w:r>
    </w:p>
    <w:p w:rsidR="00092F65" w:rsidRDefault="00092F65" w:rsidP="00092F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კვებითი დანამატი </w:t>
      </w:r>
    </w:p>
    <w:p w:rsidR="00092F65" w:rsidRDefault="00092F65" w:rsidP="00092F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გულის ნორმალური მუშაობის, ენერგეტიკული ცვლის ,                                                             კუნთოვანი და ნერვული სისტემის ნორმალური ფუნქციონირებისათვის.</w:t>
      </w:r>
    </w:p>
    <w:p w:rsidR="00092F65" w:rsidRDefault="00092F65" w:rsidP="00092F65">
      <w:pPr>
        <w:pStyle w:val="ListParagraph"/>
        <w:numPr>
          <w:ilvl w:val="0"/>
          <w:numId w:val="1"/>
        </w:num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შეიცავს ლაქტოზას</w:t>
      </w:r>
    </w:p>
    <w:p w:rsidR="00092F65" w:rsidRDefault="00092F65" w:rsidP="00092F65">
      <w:pPr>
        <w:pStyle w:val="ListParagraph"/>
        <w:numPr>
          <w:ilvl w:val="0"/>
          <w:numId w:val="1"/>
        </w:num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შეიცავს გლუტეინს</w:t>
      </w:r>
    </w:p>
    <w:p w:rsidR="00786C49" w:rsidRPr="005B2572" w:rsidRDefault="00786C49" w:rsidP="005B2572">
      <w:pPr>
        <w:rPr>
          <w:rFonts w:ascii="Sylfaen" w:hAnsi="Sylfaen"/>
          <w:lang w:val="ka-GE"/>
        </w:rPr>
      </w:pPr>
      <w:r w:rsidRPr="005B2572">
        <w:rPr>
          <w:rFonts w:ascii="Sylfaen" w:hAnsi="Sylfaen" w:cs="Sylfaen"/>
          <w:lang w:val="ka-GE"/>
        </w:rPr>
        <w:t>მაგნიუმი</w:t>
      </w:r>
      <w:r w:rsidRPr="005B2572">
        <w:rPr>
          <w:rFonts w:ascii="Sylfaen" w:hAnsi="Sylfaen"/>
          <w:lang w:val="ka-GE"/>
        </w:rPr>
        <w:t xml:space="preserve"> არის ძირითადი მინერალი , რომელიც აუცილებელია ენერგეტიკულ მეტაბოლიზმში მონაწილე რამდენიმე ფერმენტის გასააქტიურებლად.</w:t>
      </w:r>
      <w:r w:rsidR="00CB1FCF" w:rsidRPr="005B2572">
        <w:rPr>
          <w:rFonts w:ascii="Sylfaen" w:hAnsi="Sylfaen"/>
          <w:lang w:val="ka-GE"/>
        </w:rPr>
        <w:t xml:space="preserve"> მაგნიუმით ოპტიმალური მომარაგება მნიშვნელოვანია ყველა უჯრედის ენერგეტიკული ცვლისთვის.</w:t>
      </w:r>
      <w:r w:rsidR="0085369A" w:rsidRPr="005B2572">
        <w:rPr>
          <w:rFonts w:ascii="Sylfaen" w:hAnsi="Sylfaen"/>
          <w:lang w:val="ka-GE"/>
        </w:rPr>
        <w:t xml:space="preserve"> როგორც მთავარი ელექტროლიტი , მაგნიუმი  აუცილებელია ნეიროტრანსმისიისა და კუნთების შეკუმშვისათვის, მათ შორის გულის კუნთის.</w:t>
      </w:r>
    </w:p>
    <w:p w:rsidR="0085369A" w:rsidRDefault="0085369A" w:rsidP="00786C49">
      <w:pPr>
        <w:pStyle w:val="ListParagraph"/>
        <w:rPr>
          <w:rFonts w:ascii="Sylfaen" w:hAnsi="Sylfaen"/>
          <w:lang w:val="ka-GE"/>
        </w:rPr>
      </w:pPr>
    </w:p>
    <w:p w:rsidR="004E43FA" w:rsidRDefault="004E43FA" w:rsidP="004E43FA">
      <w:pPr>
        <w:ind w:left="720"/>
        <w:rPr>
          <w:rFonts w:ascii="Sylfaen" w:hAnsi="Sylfaen" w:cs="Sylfaen"/>
          <w:lang w:val="ka-GE"/>
        </w:rPr>
      </w:pPr>
      <w:r w:rsidRPr="004E43FA">
        <w:rPr>
          <w:rFonts w:ascii="Sylfaen" w:hAnsi="Sylfaen"/>
          <w:lang w:val="ka-GE"/>
        </w:rPr>
        <w:t>მაგნიუმ</w:t>
      </w:r>
      <w:r w:rsidRPr="004E43FA">
        <w:rPr>
          <w:rFonts w:ascii="Sylfaen" w:hAnsi="Sylfaen" w:cs="Sylfaen"/>
          <w:lang w:val="ka-GE"/>
        </w:rPr>
        <w:t>ი</w:t>
      </w:r>
    </w:p>
    <w:p w:rsidR="004E43FA" w:rsidRDefault="004E43FA" w:rsidP="004E43F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უჯრედებს ამარაგებს ენერგიით</w:t>
      </w:r>
    </w:p>
    <w:p w:rsidR="004E43FA" w:rsidRDefault="004E43FA" w:rsidP="004E43F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მნიშვნელოვანია ფერმენტების აქტივაციისათვის, გავლენას ახდენს ნერვული უჯრედების და კუნთების ენერგეტიკულ ცვლაზე</w:t>
      </w:r>
    </w:p>
    <w:p w:rsidR="004E43FA" w:rsidRDefault="00C770AF" w:rsidP="004E43F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განსაკუთრებით საჭიროა გულის კუნთის მუშაობისათვის</w:t>
      </w:r>
    </w:p>
    <w:p w:rsidR="003D3D15" w:rsidRDefault="00EA1BC6" w:rsidP="005B257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დოპელჰერცი მაგნეზია 500 2-ფაზიანი დეპო ფორმა ემყარება სპეციალურად დამუშავებულ ტექნოლოგიას.</w:t>
      </w:r>
      <w:r w:rsidR="003D3D15">
        <w:rPr>
          <w:rFonts w:ascii="Sylfaen" w:hAnsi="Sylfaen"/>
          <w:lang w:val="ka-GE"/>
        </w:rPr>
        <w:t xml:space="preserve"> 2-ფაზის პრინციპია: ფაზა 1 </w:t>
      </w:r>
      <w:r w:rsidR="00991769">
        <w:rPr>
          <w:rFonts w:ascii="Sylfaen" w:hAnsi="Sylfaen"/>
          <w:lang w:val="ka-GE"/>
        </w:rPr>
        <w:t xml:space="preserve"> „ დაუყონებლივ გამოყოფს მიკროელემენს’’ (პირდაპირი ფაზა)  და ფაზა 2  ,, თანდათანობით ახდენს მიკროელემენტის გამოთავისუფლებას’’ (დეპო ფაზა).</w:t>
      </w:r>
      <w:r w:rsidR="005B2572">
        <w:rPr>
          <w:rFonts w:ascii="Sylfaen" w:hAnsi="Sylfaen"/>
          <w:lang w:val="ka-GE"/>
        </w:rPr>
        <w:t xml:space="preserve"> </w:t>
      </w:r>
      <w:r w:rsidR="004727F8">
        <w:rPr>
          <w:rFonts w:ascii="Sylfaen" w:hAnsi="Sylfaen"/>
          <w:lang w:val="ka-GE"/>
        </w:rPr>
        <w:t xml:space="preserve"> მაგნიუმი გამოიყოფა სხეულში მრავალი საათის განმავლობაში.</w:t>
      </w:r>
    </w:p>
    <w:p w:rsidR="0051264C" w:rsidRDefault="0051264C" w:rsidP="0051264C">
      <w:pPr>
        <w:ind w:left="720"/>
        <w:rPr>
          <w:rFonts w:ascii="Sylfaen" w:hAnsi="Sylfaen"/>
          <w:color w:val="000000" w:themeColor="text1"/>
          <w:lang w:val="ka-GE"/>
        </w:rPr>
      </w:pPr>
      <w:r w:rsidRPr="005B2572">
        <w:rPr>
          <w:rFonts w:ascii="Sylfaen" w:hAnsi="Sylfaen"/>
          <w:b/>
          <w:color w:val="000000" w:themeColor="text1"/>
          <w:lang w:val="ka-GE"/>
        </w:rPr>
        <w:t>ერთი ტაბლეტი შეიცავს: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5B2572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500 მგ. მაგნიუმს</w:t>
      </w:r>
    </w:p>
    <w:p w:rsidR="0051264C" w:rsidRDefault="005B2572" w:rsidP="005B257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დამხმარე ნივთიერებები</w:t>
      </w:r>
      <w:r w:rsidR="0051264C">
        <w:rPr>
          <w:rFonts w:ascii="Sylfaen" w:hAnsi="Sylfaen"/>
          <w:color w:val="000000" w:themeColor="text1"/>
          <w:lang w:val="ka-GE"/>
        </w:rPr>
        <w:t>: მაგნიუმი</w:t>
      </w:r>
      <w:r>
        <w:rPr>
          <w:rFonts w:ascii="Sylfaen" w:hAnsi="Sylfaen"/>
          <w:color w:val="000000" w:themeColor="text1"/>
          <w:lang w:val="ka-GE"/>
        </w:rPr>
        <w:t>ს</w:t>
      </w:r>
      <w:r w:rsidR="0051264C">
        <w:rPr>
          <w:rFonts w:ascii="Sylfaen" w:hAnsi="Sylfaen"/>
          <w:color w:val="000000" w:themeColor="text1"/>
          <w:lang w:val="ka-GE"/>
        </w:rPr>
        <w:t xml:space="preserve"> ოქსიდი,</w:t>
      </w:r>
      <w:r w:rsidR="0051264C">
        <w:rPr>
          <w:rFonts w:ascii="Sylfaen" w:hAnsi="Sylfaen"/>
          <w:color w:val="000000" w:themeColor="text1"/>
        </w:rPr>
        <w:t xml:space="preserve"> </w:t>
      </w:r>
      <w:r w:rsidR="0051264C">
        <w:rPr>
          <w:rFonts w:ascii="Sylfaen" w:hAnsi="Sylfaen"/>
          <w:color w:val="000000" w:themeColor="text1"/>
          <w:lang w:val="ka-GE"/>
        </w:rPr>
        <w:t xml:space="preserve">დიკალციუმის ფოსფატი, </w:t>
      </w:r>
      <w:r>
        <w:rPr>
          <w:rFonts w:ascii="Sylfaen" w:hAnsi="Sylfaen"/>
          <w:color w:val="000000" w:themeColor="text1"/>
          <w:lang w:val="ka-GE"/>
        </w:rPr>
        <w:t>იზომალტი</w:t>
      </w:r>
      <w:r w:rsidR="0051264C">
        <w:rPr>
          <w:rFonts w:ascii="Sylfaen" w:hAnsi="Sylfaen"/>
          <w:color w:val="000000" w:themeColor="text1"/>
          <w:lang w:val="ka-GE"/>
        </w:rPr>
        <w:t>, მიკროკრისტალურ</w:t>
      </w:r>
      <w:r>
        <w:rPr>
          <w:rFonts w:ascii="Sylfaen" w:hAnsi="Sylfaen"/>
          <w:color w:val="000000" w:themeColor="text1"/>
          <w:lang w:val="ka-GE"/>
        </w:rPr>
        <w:t>ი</w:t>
      </w:r>
      <w:r w:rsidR="0051264C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ცელულოზა</w:t>
      </w:r>
      <w:r w:rsidR="0051264C">
        <w:rPr>
          <w:rFonts w:ascii="Sylfaen" w:hAnsi="Sylfaen"/>
          <w:color w:val="000000" w:themeColor="text1"/>
          <w:lang w:val="ka-GE"/>
        </w:rPr>
        <w:t>,</w:t>
      </w:r>
      <w:r w:rsidR="002B0133">
        <w:rPr>
          <w:rFonts w:ascii="Sylfaen" w:hAnsi="Sylfaen"/>
          <w:color w:val="000000" w:themeColor="text1"/>
          <w:lang w:val="ka-GE"/>
        </w:rPr>
        <w:t xml:space="preserve"> ჰიდროქსიმეთილპროპილ </w:t>
      </w:r>
      <w:r>
        <w:rPr>
          <w:rFonts w:ascii="Sylfaen" w:hAnsi="Sylfaen"/>
          <w:color w:val="000000" w:themeColor="text1"/>
          <w:lang w:val="ka-GE"/>
        </w:rPr>
        <w:t>ცელულოზა</w:t>
      </w:r>
      <w:r w:rsidR="002B0133">
        <w:rPr>
          <w:rFonts w:ascii="Sylfaen" w:hAnsi="Sylfaen"/>
          <w:color w:val="000000" w:themeColor="text1"/>
          <w:lang w:val="ka-GE"/>
        </w:rPr>
        <w:t>, მოდიფიცირებული სახამებელი, პოლივინილპიროლიდონი, ცხიმოვანი მჟავები,</w:t>
      </w:r>
      <w:r w:rsidR="00395FDF">
        <w:rPr>
          <w:rFonts w:ascii="Sylfaen" w:hAnsi="Sylfaen"/>
          <w:color w:val="000000" w:themeColor="text1"/>
        </w:rPr>
        <w:t xml:space="preserve"> </w:t>
      </w:r>
      <w:r w:rsidR="00395FDF">
        <w:rPr>
          <w:rFonts w:ascii="Sylfaen" w:hAnsi="Sylfaen"/>
          <w:color w:val="000000" w:themeColor="text1"/>
          <w:lang w:val="ka-GE"/>
        </w:rPr>
        <w:t>მაგნიუმის სტეარატი,</w:t>
      </w:r>
      <w:r w:rsidR="009D77AF">
        <w:rPr>
          <w:rFonts w:ascii="Sylfaen" w:hAnsi="Sylfaen"/>
          <w:color w:val="000000" w:themeColor="text1"/>
        </w:rPr>
        <w:t xml:space="preserve"> </w:t>
      </w:r>
      <w:r w:rsidR="009D77AF">
        <w:rPr>
          <w:rFonts w:ascii="Sylfaen" w:hAnsi="Sylfaen"/>
          <w:color w:val="000000" w:themeColor="text1"/>
          <w:lang w:val="ka-GE"/>
        </w:rPr>
        <w:t xml:space="preserve">რკინის ოქსიდი და ჰიდროქროქსიდი, </w:t>
      </w:r>
      <w:proofErr w:type="spellStart"/>
      <w:r w:rsidR="009D77AF">
        <w:rPr>
          <w:rFonts w:ascii="Sylfaen" w:hAnsi="Sylfaen"/>
          <w:color w:val="000000" w:themeColor="text1"/>
        </w:rPr>
        <w:t>ნატრიუმის</w:t>
      </w:r>
      <w:proofErr w:type="spellEnd"/>
      <w:r w:rsidR="009D77AF">
        <w:rPr>
          <w:rFonts w:ascii="Sylfaen" w:hAnsi="Sylfaen"/>
          <w:color w:val="000000" w:themeColor="text1"/>
        </w:rPr>
        <w:t xml:space="preserve"> </w:t>
      </w:r>
      <w:r w:rsidR="009D77AF">
        <w:rPr>
          <w:rFonts w:ascii="Sylfaen" w:hAnsi="Sylfaen"/>
          <w:color w:val="000000" w:themeColor="text1"/>
          <w:lang w:val="ka-GE"/>
        </w:rPr>
        <w:t>კარბოქსი მეთილ ცელულოზა,</w:t>
      </w:r>
      <w:r w:rsidR="009D77AF">
        <w:rPr>
          <w:rFonts w:ascii="Sylfaen" w:hAnsi="Sylfaen"/>
          <w:color w:val="000000" w:themeColor="text1"/>
        </w:rPr>
        <w:t xml:space="preserve"> </w:t>
      </w:r>
      <w:r w:rsidR="009D77AF">
        <w:rPr>
          <w:rFonts w:ascii="Sylfaen" w:hAnsi="Sylfaen"/>
          <w:color w:val="000000" w:themeColor="text1"/>
          <w:lang w:val="ka-GE"/>
        </w:rPr>
        <w:t xml:space="preserve">ტალკი, სილიციუმის დიოქსიდი, ჰიდროქსიპროპილ ცელულოზა, ქოქოსის ზეთი. </w:t>
      </w:r>
    </w:p>
    <w:p w:rsidR="00561240" w:rsidRDefault="00561240" w:rsidP="005B2572">
      <w:pPr>
        <w:rPr>
          <w:rFonts w:ascii="Sylfaen" w:hAnsi="Sylfaen"/>
          <w:color w:val="000000" w:themeColor="text1"/>
          <w:lang w:val="ka-GE"/>
        </w:rPr>
      </w:pPr>
      <w:r w:rsidRPr="005B2572">
        <w:rPr>
          <w:rFonts w:ascii="Sylfaen" w:hAnsi="Sylfaen"/>
          <w:b/>
          <w:color w:val="000000" w:themeColor="text1"/>
          <w:lang w:val="ka-GE"/>
        </w:rPr>
        <w:t>რეკომენდაცია:</w:t>
      </w:r>
      <w:r w:rsidR="005B2572" w:rsidRPr="005B2572">
        <w:rPr>
          <w:rFonts w:ascii="Sylfaen" w:hAnsi="Sylfaen"/>
          <w:b/>
          <w:color w:val="000000" w:themeColor="text1"/>
          <w:lang w:val="ka-GE"/>
        </w:rPr>
        <w:t xml:space="preserve">   </w:t>
      </w:r>
      <w:r w:rsidR="005B2572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</w:t>
      </w:r>
      <w:r>
        <w:rPr>
          <w:rFonts w:ascii="Sylfaen" w:hAnsi="Sylfaen"/>
          <w:color w:val="000000" w:themeColor="text1"/>
          <w:lang w:val="ka-GE"/>
        </w:rPr>
        <w:t xml:space="preserve">მიიღეთ დღეში ერთი ტაბლეტი ჭამის დროს საკმარის სითხესთან ერთად. არ დაღეჭოთ. </w:t>
      </w:r>
      <w:r w:rsidR="005B2572">
        <w:rPr>
          <w:rFonts w:ascii="Sylfaen" w:hAnsi="Sylfaen"/>
          <w:color w:val="000000" w:themeColor="text1"/>
          <w:lang w:val="ka-GE"/>
        </w:rPr>
        <w:lastRenderedPageBreak/>
        <w:t>შესაძ</w:t>
      </w:r>
      <w:r>
        <w:rPr>
          <w:rFonts w:ascii="Sylfaen" w:hAnsi="Sylfaen"/>
          <w:color w:val="000000" w:themeColor="text1"/>
          <w:lang w:val="ka-GE"/>
        </w:rPr>
        <w:t>ლებელია ტაბლეტის შუაზე გაყოფა თუ საჭიროა.</w:t>
      </w:r>
      <w:r>
        <w:rPr>
          <w:rFonts w:ascii="Sylfaen" w:hAnsi="Sylfaen"/>
          <w:color w:val="000000" w:themeColor="text1"/>
        </w:rPr>
        <w:t xml:space="preserve"> </w:t>
      </w:r>
      <w:r w:rsidR="00FB24E0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</w:t>
      </w:r>
      <w:r>
        <w:rPr>
          <w:rFonts w:ascii="Sylfaen" w:hAnsi="Sylfaen"/>
          <w:color w:val="000000" w:themeColor="text1"/>
          <w:lang w:val="ka-GE"/>
        </w:rPr>
        <w:t xml:space="preserve">არ გადააჭარბოთ რეკომენდირებულ დოზას. </w:t>
      </w:r>
      <w:r w:rsidR="00FB24E0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</w:t>
      </w:r>
      <w:r>
        <w:rPr>
          <w:rFonts w:ascii="Sylfaen" w:hAnsi="Sylfaen"/>
          <w:color w:val="000000" w:themeColor="text1"/>
          <w:lang w:val="ka-GE"/>
        </w:rPr>
        <w:t>კვებითი დანამატი არ გამოიყენოთ როგორც მრავალფეროვანი დიეტის შემცვლელი.</w:t>
      </w:r>
      <w:r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პროდუქტი უნდა ინახებოდეს ბავშვებისთვის მიუწვდომელ ადგილას.</w:t>
      </w:r>
    </w:p>
    <w:p w:rsidR="00FB24E0" w:rsidRPr="005B2572" w:rsidRDefault="00FB24E0" w:rsidP="00FB24E0">
      <w:pPr>
        <w:rPr>
          <w:rFonts w:ascii="Sylfaen" w:hAnsi="Sylfaen"/>
          <w:b/>
          <w:color w:val="000000" w:themeColor="text1"/>
          <w:lang w:val="ka-GE"/>
        </w:rPr>
      </w:pPr>
      <w:r w:rsidRPr="005B2572">
        <w:rPr>
          <w:rFonts w:ascii="Sylfaen" w:hAnsi="Sylfaen"/>
          <w:b/>
          <w:color w:val="000000" w:themeColor="text1"/>
          <w:lang w:val="ka-GE"/>
        </w:rPr>
        <w:t>ენერგეტიკული ღირებულება:</w:t>
      </w:r>
    </w:p>
    <w:p w:rsidR="00FB24E0" w:rsidRDefault="00FB24E0" w:rsidP="00FB24E0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</w:rPr>
        <w:t xml:space="preserve">1 </w:t>
      </w:r>
      <w:r>
        <w:rPr>
          <w:rFonts w:ascii="Sylfaen" w:hAnsi="Sylfaen"/>
          <w:color w:val="000000" w:themeColor="text1"/>
          <w:lang w:val="ka-GE"/>
        </w:rPr>
        <w:t>ტაბლეტი შეესაბამება 1.0 კკალ/6</w:t>
      </w:r>
      <w:proofErr w:type="gramStart"/>
      <w:r>
        <w:rPr>
          <w:rFonts w:ascii="Sylfaen" w:hAnsi="Sylfaen"/>
          <w:color w:val="000000" w:themeColor="text1"/>
          <w:lang w:val="ka-GE"/>
        </w:rPr>
        <w:t>,0</w:t>
      </w:r>
      <w:proofErr w:type="gramEnd"/>
      <w:r>
        <w:rPr>
          <w:rFonts w:ascii="Sylfaen" w:hAnsi="Sylfaen"/>
          <w:color w:val="000000" w:themeColor="text1"/>
          <w:lang w:val="ka-GE"/>
        </w:rPr>
        <w:t xml:space="preserve"> კჯ.</w:t>
      </w:r>
    </w:p>
    <w:p w:rsidR="008B6389" w:rsidRPr="008B6389" w:rsidRDefault="008B6389" w:rsidP="008B6389">
      <w:pPr>
        <w:spacing w:line="360" w:lineRule="auto"/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</w:t>
      </w:r>
      <w:r w:rsidRPr="008B6389">
        <w:rPr>
          <w:rFonts w:ascii="Sylfaen" w:hAnsi="Sylfaen" w:cs="Sylfaen"/>
          <w:sz w:val="24"/>
          <w:lang w:val="ka-GE"/>
        </w:rPr>
        <w:t xml:space="preserve">მწარმოებელი: </w:t>
      </w:r>
      <w:r w:rsidRPr="008B6389">
        <w:rPr>
          <w:sz w:val="24"/>
          <w:lang w:val="ka-GE"/>
        </w:rPr>
        <w:t xml:space="preserve"> </w:t>
      </w:r>
    </w:p>
    <w:p w:rsidR="008B6389" w:rsidRPr="008B6389" w:rsidRDefault="008B6389" w:rsidP="008B6389">
      <w:pPr>
        <w:spacing w:line="360" w:lineRule="auto"/>
        <w:ind w:firstLine="360"/>
        <w:rPr>
          <w:rFonts w:ascii="Sylfaen" w:hAnsi="Sylfaen"/>
          <w:sz w:val="24"/>
          <w:szCs w:val="18"/>
          <w:lang w:val="ka-GE"/>
        </w:rPr>
      </w:pPr>
      <w:r w:rsidRPr="008B6389">
        <w:rPr>
          <w:rFonts w:ascii="Sylfaen" w:hAnsi="Sylfaen"/>
          <w:sz w:val="24"/>
          <w:szCs w:val="18"/>
          <w:lang w:val="ka-GE"/>
        </w:rPr>
        <w:t>Queisser Pharma</w:t>
      </w:r>
    </w:p>
    <w:p w:rsidR="008B6389" w:rsidRPr="008B6389" w:rsidRDefault="008B6389" w:rsidP="008B6389">
      <w:pPr>
        <w:spacing w:line="360" w:lineRule="auto"/>
        <w:ind w:firstLine="360"/>
        <w:rPr>
          <w:rFonts w:ascii="Sylfaen" w:hAnsi="Sylfaen"/>
          <w:sz w:val="24"/>
          <w:szCs w:val="18"/>
          <w:lang w:val="ka-GE"/>
        </w:rPr>
      </w:pPr>
      <w:r w:rsidRPr="008B6389">
        <w:rPr>
          <w:rFonts w:ascii="Sylfaen" w:hAnsi="Sylfaen"/>
          <w:sz w:val="24"/>
          <w:szCs w:val="18"/>
          <w:lang w:val="ka-GE"/>
        </w:rPr>
        <w:t>Schleswiger Str. 74</w:t>
      </w:r>
    </w:p>
    <w:p w:rsidR="008B6389" w:rsidRPr="008B6389" w:rsidRDefault="008B6389" w:rsidP="008B6389">
      <w:pPr>
        <w:spacing w:line="360" w:lineRule="auto"/>
        <w:ind w:firstLine="360"/>
        <w:rPr>
          <w:rFonts w:ascii="Sylfaen" w:hAnsi="Sylfaen"/>
          <w:sz w:val="24"/>
          <w:szCs w:val="18"/>
          <w:lang w:val="ka-GE"/>
        </w:rPr>
      </w:pPr>
      <w:r w:rsidRPr="008B6389">
        <w:rPr>
          <w:rFonts w:ascii="Sylfaen" w:hAnsi="Sylfaen"/>
          <w:sz w:val="24"/>
          <w:szCs w:val="18"/>
          <w:lang w:val="ka-GE"/>
        </w:rPr>
        <w:t>24941 Flensburg</w:t>
      </w:r>
    </w:p>
    <w:p w:rsidR="008B6389" w:rsidRPr="008B6389" w:rsidRDefault="008B6389" w:rsidP="008B6389">
      <w:pPr>
        <w:spacing w:line="360" w:lineRule="auto"/>
        <w:ind w:firstLine="360"/>
        <w:rPr>
          <w:rFonts w:ascii="Sylfaen" w:hAnsi="Sylfaen"/>
          <w:sz w:val="24"/>
          <w:szCs w:val="18"/>
          <w:lang w:val="ka-GE"/>
        </w:rPr>
      </w:pPr>
      <w:r w:rsidRPr="008B6389">
        <w:rPr>
          <w:rFonts w:ascii="Sylfaen" w:hAnsi="Sylfaen"/>
          <w:sz w:val="24"/>
          <w:szCs w:val="18"/>
          <w:lang w:val="ka-GE"/>
        </w:rPr>
        <w:t>Germany</w:t>
      </w:r>
    </w:p>
    <w:p w:rsidR="008B6389" w:rsidRPr="008B6389" w:rsidRDefault="008B6389" w:rsidP="008B6389">
      <w:pPr>
        <w:spacing w:line="360" w:lineRule="auto"/>
        <w:ind w:firstLine="360"/>
        <w:rPr>
          <w:rFonts w:ascii="Sylfaen" w:hAnsi="Sylfaen"/>
          <w:sz w:val="24"/>
          <w:szCs w:val="18"/>
          <w:lang w:val="ka-GE"/>
        </w:rPr>
      </w:pPr>
      <w:r w:rsidRPr="008B6389">
        <w:rPr>
          <w:rFonts w:ascii="Sylfaen" w:hAnsi="Sylfaen"/>
          <w:sz w:val="24"/>
          <w:szCs w:val="18"/>
          <w:lang w:val="ka-GE"/>
        </w:rPr>
        <w:t xml:space="preserve">email: </w:t>
      </w:r>
      <w:hyperlink r:id="rId5" w:history="1">
        <w:r w:rsidRPr="008B6389">
          <w:rPr>
            <w:sz w:val="24"/>
            <w:szCs w:val="18"/>
            <w:lang w:val="ka-GE"/>
          </w:rPr>
          <w:t>info@queisser.de</w:t>
        </w:r>
      </w:hyperlink>
    </w:p>
    <w:p w:rsidR="008B6389" w:rsidRDefault="008B6389" w:rsidP="008B6389">
      <w:pPr>
        <w:spacing w:line="360" w:lineRule="auto"/>
        <w:ind w:firstLine="360"/>
        <w:rPr>
          <w:rStyle w:val="tlid-translation"/>
          <w:rFonts w:ascii="Sylfaen" w:hAnsi="Sylfaen"/>
          <w:sz w:val="24"/>
          <w:szCs w:val="18"/>
          <w:lang w:val="ka-GE"/>
        </w:rPr>
      </w:pPr>
      <w:hyperlink r:id="rId6" w:history="1">
        <w:r w:rsidRPr="008B6389">
          <w:rPr>
            <w:sz w:val="24"/>
            <w:szCs w:val="18"/>
            <w:lang w:val="ka-GE"/>
          </w:rPr>
          <w:t>www.queisser.com</w:t>
        </w:r>
      </w:hyperlink>
    </w:p>
    <w:p w:rsidR="008B6389" w:rsidRPr="008B6389" w:rsidRDefault="008B6389" w:rsidP="008B6389">
      <w:pPr>
        <w:spacing w:line="360" w:lineRule="auto"/>
        <w:ind w:firstLine="360"/>
        <w:rPr>
          <w:rFonts w:ascii="Sylfaen" w:hAnsi="Sylfaen"/>
          <w:sz w:val="24"/>
          <w:szCs w:val="18"/>
          <w:lang w:val="ka-GE"/>
        </w:rPr>
      </w:pPr>
      <w:r w:rsidRPr="000D4104">
        <w:rPr>
          <w:rFonts w:ascii="Sylfaen" w:hAnsi="Sylfaen"/>
          <w:b/>
          <w:color w:val="ED1C2D"/>
          <w:w w:val="105"/>
          <w:sz w:val="27"/>
          <w:lang w:val="ka-GE"/>
        </w:rPr>
        <w:t>Oueisser</w:t>
      </w:r>
    </w:p>
    <w:p w:rsidR="008B6389" w:rsidRPr="00B55EEB" w:rsidRDefault="008B6389" w:rsidP="008B6389">
      <w:pPr>
        <w:spacing w:line="141" w:lineRule="exact"/>
        <w:ind w:right="539"/>
        <w:rPr>
          <w:rFonts w:ascii="Sylfaen" w:hAnsi="Sylfaen"/>
          <w:b/>
          <w:sz w:val="15"/>
          <w:lang w:val="ka-GE"/>
        </w:rPr>
      </w:pPr>
      <w:r>
        <w:rPr>
          <w:rFonts w:ascii="Sylfaen" w:hAnsi="Sylfaen"/>
          <w:b/>
          <w:color w:val="2F2B2D"/>
          <w:sz w:val="15"/>
        </w:rPr>
        <w:t xml:space="preserve">          </w:t>
      </w:r>
      <w:bookmarkStart w:id="0" w:name="_GoBack"/>
      <w:bookmarkEnd w:id="0"/>
      <w:r w:rsidRPr="000D4104">
        <w:rPr>
          <w:rFonts w:ascii="Sylfaen" w:hAnsi="Sylfaen"/>
          <w:b/>
          <w:color w:val="2F2B2D"/>
          <w:sz w:val="15"/>
          <w:lang w:val="ka-GE"/>
        </w:rPr>
        <w:t>PHARMA</w:t>
      </w:r>
    </w:p>
    <w:p w:rsidR="00FB24E0" w:rsidRPr="008B6389" w:rsidRDefault="00FB24E0" w:rsidP="00FB24E0">
      <w:pPr>
        <w:rPr>
          <w:rFonts w:ascii="Sylfaen" w:hAnsi="Sylfaen"/>
          <w:color w:val="000000" w:themeColor="text1"/>
          <w:sz w:val="36"/>
          <w:lang w:val="ka-GE"/>
        </w:rPr>
      </w:pPr>
    </w:p>
    <w:p w:rsidR="00561240" w:rsidRPr="00561240" w:rsidRDefault="00561240" w:rsidP="00561240">
      <w:pPr>
        <w:rPr>
          <w:rFonts w:ascii="Sylfaen" w:hAnsi="Sylfaen"/>
          <w:color w:val="000000" w:themeColor="text1"/>
          <w:lang w:val="ka-GE"/>
        </w:rPr>
      </w:pPr>
    </w:p>
    <w:sectPr w:rsidR="00561240" w:rsidRPr="00561240" w:rsidSect="00D63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A96"/>
    <w:multiLevelType w:val="hybridMultilevel"/>
    <w:tmpl w:val="650AB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08E4"/>
    <w:multiLevelType w:val="hybridMultilevel"/>
    <w:tmpl w:val="705E5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D2102"/>
    <w:multiLevelType w:val="hybridMultilevel"/>
    <w:tmpl w:val="1A106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65"/>
    <w:rsid w:val="00092F65"/>
    <w:rsid w:val="000E554D"/>
    <w:rsid w:val="002B0133"/>
    <w:rsid w:val="00395FDF"/>
    <w:rsid w:val="003D3D15"/>
    <w:rsid w:val="004727F8"/>
    <w:rsid w:val="004E43FA"/>
    <w:rsid w:val="0051264C"/>
    <w:rsid w:val="0052129F"/>
    <w:rsid w:val="00561240"/>
    <w:rsid w:val="005B2572"/>
    <w:rsid w:val="00786C49"/>
    <w:rsid w:val="0085369A"/>
    <w:rsid w:val="008B6389"/>
    <w:rsid w:val="00991769"/>
    <w:rsid w:val="009D77AF"/>
    <w:rsid w:val="00AA7E9B"/>
    <w:rsid w:val="00C770AF"/>
    <w:rsid w:val="00CB1FCF"/>
    <w:rsid w:val="00D6368A"/>
    <w:rsid w:val="00EA1BC6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4E95"/>
  <w15:docId w15:val="{33CF361A-E7B6-40EB-980E-5402319B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F6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8B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isser.com" TargetMode="External"/><Relationship Id="rId5" Type="http://schemas.openxmlformats.org/officeDocument/2006/relationships/hyperlink" Target="mailto:info@queiss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Sandro</cp:lastModifiedBy>
  <cp:revision>2</cp:revision>
  <dcterms:created xsi:type="dcterms:W3CDTF">2021-05-19T18:22:00Z</dcterms:created>
  <dcterms:modified xsi:type="dcterms:W3CDTF">2021-05-19T18:22:00Z</dcterms:modified>
</cp:coreProperties>
</file>